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24" w:lineRule="atLeast"/>
        <w:ind w:left="0" w:leftChars="0" w:right="0" w:firstLine="0" w:firstLineChars="0"/>
        <w:jc w:val="left"/>
        <w:rPr>
          <w:rFonts w:hint="eastAsia" w:ascii="仿宋" w:hAnsi="仿宋" w:eastAsia="仿宋" w:cs="仿宋"/>
          <w:b w:val="0"/>
          <w:i w:val="0"/>
          <w:caps w:val="0"/>
          <w:color w:val="21212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12121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24" w:lineRule="atLeast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212121"/>
          <w:spacing w:val="0"/>
          <w:sz w:val="32"/>
          <w:szCs w:val="32"/>
          <w:shd w:val="clear" w:fill="FFFFFF"/>
        </w:rPr>
        <w:t>中小企业集合债发行意向企业登记表</w:t>
      </w:r>
    </w:p>
    <w:bookmarkEnd w:id="0"/>
    <w:tbl>
      <w:tblPr>
        <w:tblStyle w:val="4"/>
        <w:tblW w:w="9017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20"/>
        <w:gridCol w:w="1220"/>
        <w:gridCol w:w="764"/>
        <w:gridCol w:w="1220"/>
        <w:gridCol w:w="859"/>
        <w:gridCol w:w="510"/>
        <w:gridCol w:w="1458"/>
        <w:gridCol w:w="176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32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企业所在地</w:t>
            </w:r>
          </w:p>
        </w:tc>
        <w:tc>
          <w:tcPr>
            <w:tcW w:w="322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联系人（职务）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传真</w:t>
            </w:r>
          </w:p>
        </w:tc>
        <w:tc>
          <w:tcPr>
            <w:tcW w:w="322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所属行业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行业地位</w:t>
            </w:r>
          </w:p>
        </w:tc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主导产品</w:t>
            </w:r>
          </w:p>
        </w:tc>
        <w:tc>
          <w:tcPr>
            <w:tcW w:w="322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财务指标（万元）</w:t>
            </w:r>
          </w:p>
        </w:tc>
        <w:tc>
          <w:tcPr>
            <w:tcW w:w="198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20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19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总资产</w:t>
            </w:r>
          </w:p>
        </w:tc>
        <w:tc>
          <w:tcPr>
            <w:tcW w:w="198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20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9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净资产</w:t>
            </w:r>
          </w:p>
        </w:tc>
        <w:tc>
          <w:tcPr>
            <w:tcW w:w="198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20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9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营业收入</w:t>
            </w:r>
          </w:p>
        </w:tc>
        <w:tc>
          <w:tcPr>
            <w:tcW w:w="198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20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9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净利润</w:t>
            </w:r>
          </w:p>
        </w:tc>
        <w:tc>
          <w:tcPr>
            <w:tcW w:w="198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207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9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企业特点和优势 </w:t>
            </w:r>
          </w:p>
        </w:tc>
        <w:tc>
          <w:tcPr>
            <w:tcW w:w="779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过往融资情况，目前存在融资障碍及需协调解决的问题 </w:t>
            </w:r>
          </w:p>
        </w:tc>
        <w:tc>
          <w:tcPr>
            <w:tcW w:w="779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企业对外担保、联保互保情况 </w:t>
            </w:r>
          </w:p>
        </w:tc>
        <w:tc>
          <w:tcPr>
            <w:tcW w:w="779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企业可提供的反担保措施 </w:t>
            </w:r>
          </w:p>
        </w:tc>
        <w:tc>
          <w:tcPr>
            <w:tcW w:w="779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firstLine="0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发行债券的意向 </w:t>
            </w:r>
          </w:p>
        </w:tc>
        <w:tc>
          <w:tcPr>
            <w:tcW w:w="779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ind w:left="0" w:leftChars="0" w:firstLine="0" w:firstLineChars="0"/>
        <w:jc w:val="left"/>
        <w:rPr>
          <w:rFonts w:hint="eastAsia" w:ascii="仿宋" w:hAnsi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填表人：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TIXSizeTwoSym">
    <w:panose1 w:val="00000500000000000000"/>
    <w:charset w:val="86"/>
    <w:family w:val="auto"/>
    <w:pitch w:val="default"/>
    <w:sig w:usb0="00000003" w:usb1="000000C0" w:usb2="00000000" w:usb3="00000000" w:csb0="A03E0001" w:csb1="90FE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83092"/>
    <w:rsid w:val="00421E32"/>
    <w:rsid w:val="74C830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0" w:firstLineChars="200"/>
      <w:jc w:val="both"/>
    </w:pPr>
    <w:rPr>
      <w:rFonts w:ascii="Times New Roman" w:hAnsi="Times New Roman" w:eastAsia="仿宋" w:cstheme="minorBidi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2017-03-07T06:04:00Z</dcterms:created>
  <dc:creator>天驹</dc:creator>
  <cp:lastModifiedBy>天驹</cp:lastModifiedBy>
  <dcterms:modified xsi:type="dcterms:W3CDTF">2017-03-07T06:05:43Z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